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1C12" w14:textId="3CE660FE" w:rsidR="00FE067E" w:rsidRPr="00806462" w:rsidRDefault="003C6034" w:rsidP="00CC1F3B">
      <w:pPr>
        <w:pStyle w:val="TitlePageOrigin"/>
        <w:rPr>
          <w:color w:val="auto"/>
        </w:rPr>
      </w:pPr>
      <w:r w:rsidRPr="00806462">
        <w:rPr>
          <w:caps w:val="0"/>
          <w:color w:val="auto"/>
        </w:rPr>
        <w:t>WEST VIRGINIA LEGISLATURE</w:t>
      </w:r>
      <w:r w:rsidR="007E0014" w:rsidRPr="0080646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3D520" wp14:editId="1B0F74C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8233810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2C3D8" w14:textId="0397241B" w:rsidR="007E0014" w:rsidRPr="007E0014" w:rsidRDefault="007E0014" w:rsidP="007E001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E001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3D52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4482C3D8" w14:textId="0397241B" w:rsidR="007E0014" w:rsidRPr="007E0014" w:rsidRDefault="007E0014" w:rsidP="007E001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E001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733BACFC" w14:textId="389C92EE" w:rsidR="00CD36CF" w:rsidRPr="00806462" w:rsidRDefault="00CD36CF" w:rsidP="00CC1F3B">
      <w:pPr>
        <w:pStyle w:val="TitlePageSession"/>
        <w:rPr>
          <w:color w:val="auto"/>
        </w:rPr>
      </w:pPr>
      <w:r w:rsidRPr="00806462">
        <w:rPr>
          <w:color w:val="auto"/>
        </w:rPr>
        <w:t>20</w:t>
      </w:r>
      <w:r w:rsidR="00EC5E63" w:rsidRPr="00806462">
        <w:rPr>
          <w:color w:val="auto"/>
        </w:rPr>
        <w:t>2</w:t>
      </w:r>
      <w:r w:rsidR="007C2E7F" w:rsidRPr="00806462">
        <w:rPr>
          <w:color w:val="auto"/>
        </w:rPr>
        <w:t>6</w:t>
      </w:r>
      <w:r w:rsidRPr="00806462">
        <w:rPr>
          <w:color w:val="auto"/>
        </w:rPr>
        <w:t xml:space="preserve"> </w:t>
      </w:r>
      <w:r w:rsidR="003C6034" w:rsidRPr="00806462">
        <w:rPr>
          <w:caps w:val="0"/>
          <w:color w:val="auto"/>
        </w:rPr>
        <w:t>REGULAR SESSION</w:t>
      </w:r>
    </w:p>
    <w:p w14:paraId="53684691" w14:textId="6C14C7AE" w:rsidR="00CD36CF" w:rsidRPr="00806462" w:rsidRDefault="007C2E7F" w:rsidP="00CC1F3B">
      <w:pPr>
        <w:pStyle w:val="TitlePageBillPrefix"/>
        <w:rPr>
          <w:color w:val="auto"/>
        </w:rPr>
      </w:pPr>
      <w:r w:rsidRPr="00806462">
        <w:rPr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6F3A4" wp14:editId="586FA2F4">
                <wp:simplePos x="0" y="0"/>
                <wp:positionH relativeFrom="column">
                  <wp:posOffset>8137524</wp:posOffset>
                </wp:positionH>
                <wp:positionV relativeFrom="paragraph">
                  <wp:posOffset>479425</wp:posOffset>
                </wp:positionV>
                <wp:extent cx="434975" cy="476250"/>
                <wp:effectExtent l="0" t="0" r="22225" b="19050"/>
                <wp:wrapNone/>
                <wp:docPr id="211317223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D90E0" w14:textId="49D79E55" w:rsidR="00297345" w:rsidRPr="00297345" w:rsidRDefault="00297345" w:rsidP="0029734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9734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6F3A4" id="_x0000_s1027" type="#_x0000_t202" style="position:absolute;left:0;text-align:left;margin-left:640.75pt;margin-top:37.75pt;width:34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" filled="f" strokeweight=".5pt">
                <v:textbox inset="0,5pt,0,0">
                  <w:txbxContent>
                    <w:p w14:paraId="728D90E0" w14:textId="49D79E55" w:rsidR="00297345" w:rsidRPr="00297345" w:rsidRDefault="00297345" w:rsidP="0029734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9734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E221465BE7A6408C9FEF4308E3EA4644"/>
          </w:placeholder>
          <w:text/>
        </w:sdtPr>
        <w:sdtEndPr/>
        <w:sdtContent>
          <w:r w:rsidR="00AE48A0" w:rsidRPr="00806462">
            <w:rPr>
              <w:color w:val="auto"/>
            </w:rPr>
            <w:t>Introduced</w:t>
          </w:r>
        </w:sdtContent>
      </w:sdt>
    </w:p>
    <w:p w14:paraId="62680ECD" w14:textId="39975F90" w:rsidR="00CD36CF" w:rsidRPr="00806462" w:rsidRDefault="00176D0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378121B72554AB8A352D7806216F25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06462">
            <w:rPr>
              <w:color w:val="auto"/>
            </w:rPr>
            <w:t>House</w:t>
          </w:r>
        </w:sdtContent>
      </w:sdt>
      <w:r w:rsidR="00303684" w:rsidRPr="00806462">
        <w:rPr>
          <w:color w:val="auto"/>
        </w:rPr>
        <w:t xml:space="preserve"> </w:t>
      </w:r>
      <w:r w:rsidR="00CD36CF" w:rsidRPr="0080646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BA4D02A23B64CE88A914BBC3D6A364A"/>
          </w:placeholder>
          <w:text/>
        </w:sdtPr>
        <w:sdtEndPr/>
        <w:sdtContent>
          <w:r>
            <w:rPr>
              <w:color w:val="auto"/>
            </w:rPr>
            <w:t>5056</w:t>
          </w:r>
        </w:sdtContent>
      </w:sdt>
    </w:p>
    <w:p w14:paraId="4D0CBE6A" w14:textId="402DED81" w:rsidR="00CD36CF" w:rsidRPr="00806462" w:rsidRDefault="00CD36CF" w:rsidP="00CC1F3B">
      <w:pPr>
        <w:pStyle w:val="Sponsors"/>
        <w:rPr>
          <w:color w:val="auto"/>
        </w:rPr>
      </w:pPr>
      <w:r w:rsidRPr="0080646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C6ABA152D464B8AA76BAE217538D9B8"/>
          </w:placeholder>
          <w:text w:multiLine="1"/>
        </w:sdtPr>
        <w:sdtEndPr/>
        <w:sdtContent>
          <w:r w:rsidR="001E5DC0" w:rsidRPr="00806462">
            <w:rPr>
              <w:color w:val="auto"/>
            </w:rPr>
            <w:t>Delegate</w:t>
          </w:r>
          <w:r w:rsidR="007C2E7F" w:rsidRPr="00806462">
            <w:rPr>
              <w:color w:val="auto"/>
            </w:rPr>
            <w:t xml:space="preserve"> </w:t>
          </w:r>
          <w:r w:rsidR="001E5DC0" w:rsidRPr="00806462">
            <w:rPr>
              <w:color w:val="auto"/>
            </w:rPr>
            <w:t>Toney</w:t>
          </w:r>
        </w:sdtContent>
      </w:sdt>
    </w:p>
    <w:p w14:paraId="7CF1D094" w14:textId="69D19A46" w:rsidR="00E831B3" w:rsidRPr="00806462" w:rsidRDefault="00CD36CF" w:rsidP="00CC1F3B">
      <w:pPr>
        <w:pStyle w:val="References"/>
        <w:rPr>
          <w:color w:val="auto"/>
        </w:rPr>
      </w:pPr>
      <w:r w:rsidRPr="0080646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E24B7E53695478C9CEC35A4686E6A16"/>
          </w:placeholder>
          <w:text w:multiLine="1"/>
        </w:sdtPr>
        <w:sdtEndPr/>
        <w:sdtContent>
          <w:r w:rsidR="00176D01">
            <w:rPr>
              <w:color w:val="auto"/>
            </w:rPr>
            <w:t>Introduced February 02, 2026; referred to the Committee on Finance</w:t>
          </w:r>
        </w:sdtContent>
      </w:sdt>
      <w:r w:rsidRPr="00806462">
        <w:rPr>
          <w:color w:val="auto"/>
        </w:rPr>
        <w:t>]</w:t>
      </w:r>
    </w:p>
    <w:p w14:paraId="63DBC96E" w14:textId="088783D4" w:rsidR="00303684" w:rsidRPr="00806462" w:rsidRDefault="0000526A" w:rsidP="00CC1F3B">
      <w:pPr>
        <w:pStyle w:val="TitleSection"/>
        <w:rPr>
          <w:color w:val="auto"/>
        </w:rPr>
      </w:pPr>
      <w:r w:rsidRPr="00806462">
        <w:rPr>
          <w:color w:val="auto"/>
        </w:rPr>
        <w:lastRenderedPageBreak/>
        <w:t>A BILL</w:t>
      </w:r>
      <w:r w:rsidR="001E5DC0" w:rsidRPr="00806462">
        <w:rPr>
          <w:color w:val="auto"/>
        </w:rPr>
        <w:t xml:space="preserve"> to amend and reenact §18-7A-28 of the Code of West Virginia, 1931, as amended, relating to the State Teachers Retirement System; options to beneficiaries; and authorizing a change of options because of death of beneficiary with a joint life annuity, within the first five years of retirement.</w:t>
      </w:r>
    </w:p>
    <w:p w14:paraId="01CB70FC" w14:textId="77777777" w:rsidR="00303684" w:rsidRPr="00806462" w:rsidRDefault="00303684" w:rsidP="00CC1F3B">
      <w:pPr>
        <w:pStyle w:val="EnactingClause"/>
        <w:rPr>
          <w:color w:val="auto"/>
        </w:rPr>
      </w:pPr>
      <w:r w:rsidRPr="00806462">
        <w:rPr>
          <w:color w:val="auto"/>
        </w:rPr>
        <w:t>Be it enacted by the Legislature of West Virginia:</w:t>
      </w:r>
    </w:p>
    <w:p w14:paraId="74BA15DC" w14:textId="77777777" w:rsidR="003C6034" w:rsidRPr="00806462" w:rsidRDefault="003C6034" w:rsidP="00CC1F3B">
      <w:pPr>
        <w:pStyle w:val="EnactingClause"/>
        <w:rPr>
          <w:color w:val="auto"/>
        </w:rPr>
        <w:sectPr w:rsidR="003C6034" w:rsidRPr="0080646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A861DAB" w14:textId="77777777" w:rsidR="001E5DC0" w:rsidRPr="00806462" w:rsidRDefault="001E5DC0" w:rsidP="001E5DC0">
      <w:pPr>
        <w:pStyle w:val="ArticleHeading"/>
        <w:rPr>
          <w:color w:val="auto"/>
        </w:rPr>
        <w:sectPr w:rsidR="001E5DC0" w:rsidRPr="00806462" w:rsidSect="00C9229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06462">
        <w:rPr>
          <w:color w:val="auto"/>
        </w:rPr>
        <w:t>ARTICLE 7A. STATE TEACHERS RETIREMENT SYSTEM.</w:t>
      </w:r>
    </w:p>
    <w:p w14:paraId="09E155BF" w14:textId="77777777" w:rsidR="001E5DC0" w:rsidRPr="00806462" w:rsidRDefault="001E5DC0" w:rsidP="001E5DC0">
      <w:pPr>
        <w:pStyle w:val="SectionHeading"/>
        <w:rPr>
          <w:color w:val="auto"/>
        </w:rPr>
        <w:sectPr w:rsidR="001E5DC0" w:rsidRPr="0080646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06462">
        <w:rPr>
          <w:color w:val="auto"/>
        </w:rPr>
        <w:t>§18-7A-28. Options to beneficiaries; change of certain options because of divorce or annulment; limitation on recalculated monthly benefits.</w:t>
      </w:r>
    </w:p>
    <w:p w14:paraId="120C2BC6" w14:textId="77777777" w:rsidR="001E5DC0" w:rsidRPr="00806462" w:rsidRDefault="001E5DC0" w:rsidP="001E5DC0">
      <w:pPr>
        <w:pStyle w:val="SectionBody"/>
        <w:rPr>
          <w:color w:val="auto"/>
        </w:rPr>
      </w:pPr>
      <w:r w:rsidRPr="00806462">
        <w:rPr>
          <w:color w:val="auto"/>
        </w:rPr>
        <w:t xml:space="preserve">The retirement board is hereby authorized to offer plans, optional with the beneficiary, for the payment of allowances due </w:t>
      </w:r>
      <w:r w:rsidRPr="00806462">
        <w:rPr>
          <w:strike/>
          <w:color w:val="auto"/>
        </w:rPr>
        <w:t>such</w:t>
      </w:r>
      <w:r w:rsidRPr="00806462">
        <w:rPr>
          <w:color w:val="auto"/>
        </w:rPr>
        <w:t xml:space="preserve"> </w:t>
      </w:r>
      <w:r w:rsidRPr="00806462">
        <w:rPr>
          <w:color w:val="auto"/>
          <w:u w:val="single"/>
        </w:rPr>
        <w:t>the</w:t>
      </w:r>
      <w:r w:rsidRPr="00806462">
        <w:rPr>
          <w:color w:val="auto"/>
        </w:rPr>
        <w:t xml:space="preserve"> beneficiary for retirement, withdrawal, or prior service pensions under the retirement system. No plans </w:t>
      </w:r>
      <w:r w:rsidRPr="00806462">
        <w:rPr>
          <w:strike/>
          <w:color w:val="auto"/>
        </w:rPr>
        <w:t>shall</w:t>
      </w:r>
      <w:r w:rsidRPr="00806462">
        <w:rPr>
          <w:color w:val="auto"/>
        </w:rPr>
        <w:t xml:space="preserve"> </w:t>
      </w:r>
      <w:r w:rsidRPr="00806462">
        <w:rPr>
          <w:color w:val="auto"/>
          <w:u w:val="single"/>
        </w:rPr>
        <w:t>may</w:t>
      </w:r>
      <w:r w:rsidRPr="00806462">
        <w:rPr>
          <w:color w:val="auto"/>
        </w:rPr>
        <w:t xml:space="preserve"> be offered, however, which are not approved by competent actuaries.</w:t>
      </w:r>
    </w:p>
    <w:p w14:paraId="77F80E70" w14:textId="77777777" w:rsidR="001E5DC0" w:rsidRPr="00806462" w:rsidRDefault="001E5DC0" w:rsidP="001E5DC0">
      <w:pPr>
        <w:pStyle w:val="SectionBody"/>
        <w:rPr>
          <w:color w:val="auto"/>
        </w:rPr>
      </w:pPr>
      <w:r w:rsidRPr="00806462">
        <w:rPr>
          <w:color w:val="auto"/>
        </w:rPr>
        <w:t xml:space="preserve">When a beneficiary and his or her spouse have been approved for a retirement plan which provides for them a joint life annuity, and </w:t>
      </w:r>
      <w:r w:rsidRPr="00806462">
        <w:rPr>
          <w:color w:val="auto"/>
          <w:u w:val="single"/>
        </w:rPr>
        <w:t>(1)</w:t>
      </w:r>
      <w:r w:rsidRPr="00806462">
        <w:rPr>
          <w:color w:val="auto"/>
        </w:rPr>
        <w:t xml:space="preserve"> their marriage is subsequently dissolved; </w:t>
      </w:r>
      <w:r w:rsidRPr="00806462">
        <w:rPr>
          <w:color w:val="auto"/>
          <w:u w:val="single"/>
        </w:rPr>
        <w:t xml:space="preserve">or (2) </w:t>
      </w:r>
      <w:r w:rsidRPr="00806462">
        <w:rPr>
          <w:rFonts w:eastAsia="MingLiU-ExtB" w:cs="Arial"/>
          <w:color w:val="auto"/>
          <w:u w:val="single"/>
        </w:rPr>
        <w:t>the spouse dies during the first five years of the beneficiary’s retirement</w:t>
      </w:r>
      <w:r w:rsidRPr="00806462">
        <w:rPr>
          <w:color w:val="auto"/>
          <w:u w:val="single"/>
        </w:rPr>
        <w:t>,</w:t>
      </w:r>
      <w:r w:rsidRPr="00806462">
        <w:rPr>
          <w:color w:val="auto"/>
        </w:rPr>
        <w:t xml:space="preserve"> the board shall permit </w:t>
      </w:r>
      <w:r w:rsidRPr="00806462">
        <w:rPr>
          <w:strike/>
          <w:color w:val="auto"/>
        </w:rPr>
        <w:t>such</w:t>
      </w:r>
      <w:r w:rsidRPr="00806462">
        <w:rPr>
          <w:color w:val="auto"/>
        </w:rPr>
        <w:t xml:space="preserve"> </w:t>
      </w:r>
      <w:r w:rsidRPr="00806462">
        <w:rPr>
          <w:color w:val="auto"/>
          <w:u w:val="single"/>
        </w:rPr>
        <w:t>the</w:t>
      </w:r>
      <w:r w:rsidRPr="00806462">
        <w:rPr>
          <w:color w:val="auto"/>
        </w:rPr>
        <w:t xml:space="preserve"> beneficiary to convert to the maximum life annuity plan approved by the board: </w:t>
      </w:r>
      <w:r w:rsidRPr="00806462">
        <w:rPr>
          <w:i/>
          <w:iCs/>
          <w:color w:val="auto"/>
        </w:rPr>
        <w:t>Provided,</w:t>
      </w:r>
      <w:r w:rsidRPr="00806462">
        <w:rPr>
          <w:color w:val="auto"/>
        </w:rPr>
        <w:t xml:space="preserve"> That the beneficiary shall furnish to the board: </w:t>
      </w:r>
      <w:r w:rsidRPr="00806462">
        <w:rPr>
          <w:color w:val="auto"/>
          <w:u w:val="single"/>
        </w:rPr>
        <w:t>(1)</w:t>
      </w:r>
      <w:r w:rsidRPr="00806462">
        <w:rPr>
          <w:color w:val="auto"/>
        </w:rPr>
        <w:t xml:space="preserve">  proof of entry of a final decree of divorce or annulment</w:t>
      </w:r>
      <w:r w:rsidRPr="00806462">
        <w:rPr>
          <w:color w:val="auto"/>
          <w:u w:color="5B9BD5" w:themeColor="accent1"/>
        </w:rPr>
        <w:t xml:space="preserve">; </w:t>
      </w:r>
      <w:r w:rsidRPr="00806462">
        <w:rPr>
          <w:color w:val="auto"/>
          <w:u w:val="single"/>
        </w:rPr>
        <w:t>or (2) proof of the spouse’s death:</w:t>
      </w:r>
      <w:r w:rsidRPr="00806462">
        <w:rPr>
          <w:color w:val="auto"/>
        </w:rPr>
        <w:t xml:space="preserve"> </w:t>
      </w:r>
      <w:r w:rsidRPr="00806462">
        <w:rPr>
          <w:i/>
          <w:iCs/>
          <w:color w:val="auto"/>
        </w:rPr>
        <w:t>Provided, however,</w:t>
      </w:r>
      <w:r w:rsidRPr="00806462">
        <w:rPr>
          <w:color w:val="auto"/>
        </w:rPr>
        <w:t xml:space="preserve"> That a beneficiary who qualifies for the change of retirement plans afforded by this section shall be permitted only one such change: </w:t>
      </w:r>
      <w:r w:rsidRPr="00806462">
        <w:rPr>
          <w:i/>
          <w:iCs/>
          <w:color w:val="auto"/>
        </w:rPr>
        <w:t>Provided further,</w:t>
      </w:r>
      <w:r w:rsidRPr="00806462">
        <w:rPr>
          <w:color w:val="auto"/>
        </w:rPr>
        <w:t xml:space="preserve"> That the recalculated monthly benefits, independently of increases granted by law after the beneficiary</w:t>
      </w:r>
      <w:r w:rsidRPr="00806462">
        <w:rPr>
          <w:color w:val="auto"/>
        </w:rPr>
        <w:sym w:font="Arial" w:char="0027"/>
      </w:r>
      <w:r w:rsidRPr="00806462">
        <w:rPr>
          <w:color w:val="auto"/>
        </w:rPr>
        <w:t xml:space="preserve">s retirement, </w:t>
      </w:r>
      <w:r w:rsidRPr="00806462">
        <w:rPr>
          <w:strike/>
          <w:color w:val="auto"/>
        </w:rPr>
        <w:t>shall</w:t>
      </w:r>
      <w:r w:rsidRPr="00806462">
        <w:rPr>
          <w:color w:val="auto"/>
        </w:rPr>
        <w:t xml:space="preserve"> </w:t>
      </w:r>
      <w:r w:rsidRPr="00806462">
        <w:rPr>
          <w:color w:val="auto"/>
          <w:u w:val="single"/>
        </w:rPr>
        <w:t>may</w:t>
      </w:r>
      <w:r w:rsidRPr="00806462">
        <w:rPr>
          <w:color w:val="auto"/>
        </w:rPr>
        <w:t xml:space="preserve"> not exceed the monthly benefits which would have been applicable under the maximum life annuity plan at the time the beneficiary retired; and with </w:t>
      </w:r>
      <w:r w:rsidRPr="00806462">
        <w:rPr>
          <w:strike/>
          <w:color w:val="auto"/>
        </w:rPr>
        <w:t>such</w:t>
      </w:r>
      <w:r w:rsidRPr="00806462">
        <w:rPr>
          <w:color w:val="auto"/>
        </w:rPr>
        <w:t xml:space="preserve"> </w:t>
      </w:r>
      <w:r w:rsidRPr="00806462">
        <w:rPr>
          <w:color w:val="auto"/>
          <w:u w:val="single"/>
        </w:rPr>
        <w:t>the</w:t>
      </w:r>
      <w:r w:rsidRPr="00806462">
        <w:rPr>
          <w:color w:val="auto"/>
        </w:rPr>
        <w:t xml:space="preserve"> recalculation to be effective on the first day of the month following submission to the board by the beneficiary of proof of entry of a final decree of divorce or annulment.</w:t>
      </w:r>
    </w:p>
    <w:p w14:paraId="21E5A079" w14:textId="024ED1C8" w:rsidR="008736AA" w:rsidRPr="00806462" w:rsidRDefault="001E5DC0" w:rsidP="001E5DC0">
      <w:pPr>
        <w:pStyle w:val="SectionBody"/>
        <w:rPr>
          <w:color w:val="auto"/>
        </w:rPr>
      </w:pPr>
      <w:r w:rsidRPr="00806462">
        <w:rPr>
          <w:color w:val="auto"/>
        </w:rPr>
        <w:t xml:space="preserve">Upon remarriage, a retirant may name the new spouse as an annuitant for any of the survivorship retirement benefit options offered by the provisions of this section: </w:t>
      </w:r>
      <w:r w:rsidRPr="00806462">
        <w:rPr>
          <w:i/>
          <w:iCs/>
          <w:color w:val="auto"/>
        </w:rPr>
        <w:t>Provided,</w:t>
      </w:r>
      <w:r w:rsidRPr="00806462">
        <w:rPr>
          <w:color w:val="auto"/>
        </w:rPr>
        <w:t xml:space="preserve"> That the beneficiary shall furnish to the retirement board satisfactory proof of the marriage: </w:t>
      </w:r>
      <w:r w:rsidRPr="00806462">
        <w:rPr>
          <w:i/>
          <w:iCs/>
          <w:color w:val="auto"/>
        </w:rPr>
        <w:t>Provided, however,</w:t>
      </w:r>
      <w:r w:rsidRPr="00806462">
        <w:rPr>
          <w:color w:val="auto"/>
        </w:rPr>
        <w:t xml:space="preserve"> That the retirant certifies under penalty of perjury that no qualified domestic relations order that would restrict such a designation is in effect: </w:t>
      </w:r>
      <w:r w:rsidRPr="00806462">
        <w:rPr>
          <w:i/>
          <w:iCs/>
          <w:color w:val="auto"/>
        </w:rPr>
        <w:t>Provided further,</w:t>
      </w:r>
      <w:r w:rsidRPr="00806462">
        <w:rPr>
          <w:color w:val="auto"/>
        </w:rPr>
        <w:t xml:space="preserve"> That no cause or action against the board may then arise or be maintained on the basis of having permitted the retirant to name a new spouse as annuitant for any of the survivorship retirement benefit options. The value of the new survivorship annuity shall be the actuarial equivalent of the retirant</w:t>
      </w:r>
      <w:r w:rsidRPr="00806462">
        <w:rPr>
          <w:color w:val="auto"/>
        </w:rPr>
        <w:sym w:font="Arial" w:char="0027"/>
      </w:r>
      <w:r w:rsidRPr="00806462">
        <w:rPr>
          <w:color w:val="auto"/>
        </w:rPr>
        <w:t>s benefit prospectively in effect at the time the new annuity is elected.</w:t>
      </w:r>
    </w:p>
    <w:p w14:paraId="0149FCA1" w14:textId="77777777" w:rsidR="00C33014" w:rsidRPr="00806462" w:rsidRDefault="00C33014" w:rsidP="00CC1F3B">
      <w:pPr>
        <w:pStyle w:val="Note"/>
        <w:rPr>
          <w:color w:val="auto"/>
        </w:rPr>
      </w:pPr>
    </w:p>
    <w:p w14:paraId="0E6D6896" w14:textId="39367C82" w:rsidR="006865E9" w:rsidRPr="00806462" w:rsidRDefault="00CF1DCA" w:rsidP="00CC1F3B">
      <w:pPr>
        <w:pStyle w:val="Note"/>
        <w:rPr>
          <w:color w:val="auto"/>
        </w:rPr>
      </w:pPr>
      <w:r w:rsidRPr="00806462">
        <w:rPr>
          <w:color w:val="auto"/>
        </w:rPr>
        <w:t xml:space="preserve">NOTE: </w:t>
      </w:r>
      <w:r w:rsidR="001E5DC0" w:rsidRPr="00806462">
        <w:rPr>
          <w:color w:val="auto"/>
        </w:rPr>
        <w:t>The purpose of this bill is to permit a beneficiary under the State Teachers Retirement System who has been approved for a retirement with a joint life annuity to convert to the maximum life annuity if the spouse dies within the first five years of the beneficiary’s retirement.</w:t>
      </w:r>
    </w:p>
    <w:p w14:paraId="1651E989" w14:textId="77777777" w:rsidR="006865E9" w:rsidRPr="00806462" w:rsidRDefault="00AE48A0" w:rsidP="00CC1F3B">
      <w:pPr>
        <w:pStyle w:val="Note"/>
        <w:rPr>
          <w:color w:val="auto"/>
        </w:rPr>
      </w:pPr>
      <w:r w:rsidRPr="0080646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0646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C138" w14:textId="77777777" w:rsidR="001E5DC0" w:rsidRPr="00B844FE" w:rsidRDefault="001E5DC0" w:rsidP="00B844FE">
      <w:r>
        <w:separator/>
      </w:r>
    </w:p>
  </w:endnote>
  <w:endnote w:type="continuationSeparator" w:id="0">
    <w:p w14:paraId="51A864E8" w14:textId="77777777" w:rsidR="001E5DC0" w:rsidRPr="00B844FE" w:rsidRDefault="001E5DC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B2E025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1CB89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BF1A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DDBC" w14:textId="77777777" w:rsidR="001E5DC0" w:rsidRPr="00B844FE" w:rsidRDefault="001E5DC0" w:rsidP="00B844FE">
      <w:r>
        <w:separator/>
      </w:r>
    </w:p>
  </w:footnote>
  <w:footnote w:type="continuationSeparator" w:id="0">
    <w:p w14:paraId="2515460A" w14:textId="77777777" w:rsidR="001E5DC0" w:rsidRPr="00B844FE" w:rsidRDefault="001E5DC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41E6" w14:textId="77777777" w:rsidR="002A0269" w:rsidRPr="00B844FE" w:rsidRDefault="00176D01">
    <w:pPr>
      <w:pStyle w:val="Header"/>
    </w:pPr>
    <w:sdt>
      <w:sdtPr>
        <w:id w:val="-684364211"/>
        <w:placeholder>
          <w:docPart w:val="C378121B72554AB8A352D7806216F25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378121B72554AB8A352D7806216F25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5EDE" w14:textId="68E6F7D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7590E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7590E">
          <w:rPr>
            <w:sz w:val="22"/>
            <w:szCs w:val="22"/>
          </w:rPr>
          <w:t>202</w:t>
        </w:r>
        <w:r w:rsidR="007C2E7F">
          <w:rPr>
            <w:sz w:val="22"/>
            <w:szCs w:val="22"/>
          </w:rPr>
          <w:t>6</w:t>
        </w:r>
        <w:r w:rsidR="00E7590E">
          <w:rPr>
            <w:sz w:val="22"/>
            <w:szCs w:val="22"/>
          </w:rPr>
          <w:t>R</w:t>
        </w:r>
        <w:r w:rsidR="007C2E7F">
          <w:rPr>
            <w:sz w:val="22"/>
            <w:szCs w:val="22"/>
          </w:rPr>
          <w:t>3523</w:t>
        </w:r>
      </w:sdtContent>
    </w:sdt>
  </w:p>
  <w:p w14:paraId="27515B9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928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C0"/>
    <w:rsid w:val="0000526A"/>
    <w:rsid w:val="000573A9"/>
    <w:rsid w:val="00085D22"/>
    <w:rsid w:val="00093AB0"/>
    <w:rsid w:val="000C5C77"/>
    <w:rsid w:val="000E3912"/>
    <w:rsid w:val="0010070F"/>
    <w:rsid w:val="001456E3"/>
    <w:rsid w:val="0015112E"/>
    <w:rsid w:val="001552E7"/>
    <w:rsid w:val="001566B4"/>
    <w:rsid w:val="00176D01"/>
    <w:rsid w:val="001A66B7"/>
    <w:rsid w:val="001B3A8E"/>
    <w:rsid w:val="001C279E"/>
    <w:rsid w:val="001D459E"/>
    <w:rsid w:val="001E5DC0"/>
    <w:rsid w:val="0022348D"/>
    <w:rsid w:val="0027011C"/>
    <w:rsid w:val="002710E9"/>
    <w:rsid w:val="00274200"/>
    <w:rsid w:val="00275740"/>
    <w:rsid w:val="00297345"/>
    <w:rsid w:val="002A0269"/>
    <w:rsid w:val="002C1DC6"/>
    <w:rsid w:val="00303684"/>
    <w:rsid w:val="003143F5"/>
    <w:rsid w:val="00314854"/>
    <w:rsid w:val="00394191"/>
    <w:rsid w:val="003C51CD"/>
    <w:rsid w:val="003C6034"/>
    <w:rsid w:val="00400B5C"/>
    <w:rsid w:val="004368E0"/>
    <w:rsid w:val="00443681"/>
    <w:rsid w:val="004C13DD"/>
    <w:rsid w:val="004D3ABE"/>
    <w:rsid w:val="004E112F"/>
    <w:rsid w:val="004E3441"/>
    <w:rsid w:val="00500579"/>
    <w:rsid w:val="005331E9"/>
    <w:rsid w:val="005A5366"/>
    <w:rsid w:val="006369EB"/>
    <w:rsid w:val="00637E73"/>
    <w:rsid w:val="006648E1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2E7F"/>
    <w:rsid w:val="007E0014"/>
    <w:rsid w:val="007F1CF5"/>
    <w:rsid w:val="00806462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42A45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F2C65"/>
    <w:rsid w:val="00C1299A"/>
    <w:rsid w:val="00C23146"/>
    <w:rsid w:val="00C33014"/>
    <w:rsid w:val="00C33434"/>
    <w:rsid w:val="00C34869"/>
    <w:rsid w:val="00C42EB6"/>
    <w:rsid w:val="00C62327"/>
    <w:rsid w:val="00C85096"/>
    <w:rsid w:val="00CB1005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590E"/>
    <w:rsid w:val="00E831B3"/>
    <w:rsid w:val="00E95FBC"/>
    <w:rsid w:val="00EC5E63"/>
    <w:rsid w:val="00EE70CB"/>
    <w:rsid w:val="00F41CA2"/>
    <w:rsid w:val="00F443C0"/>
    <w:rsid w:val="00F62EFB"/>
    <w:rsid w:val="00F939A4"/>
    <w:rsid w:val="00FA591F"/>
    <w:rsid w:val="00FA7B09"/>
    <w:rsid w:val="00FC1F3A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098DC"/>
  <w15:chartTrackingRefBased/>
  <w15:docId w15:val="{0F8DF4D6-E51D-444B-8D85-AB3C7FC7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E5DC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E5DC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E5DC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21465BE7A6408C9FEF4308E3EA4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CA56E-7DDD-4A78-8A59-D81DEA965B86}"/>
      </w:docPartPr>
      <w:docPartBody>
        <w:p w:rsidR="003D4E91" w:rsidRDefault="003D4E91">
          <w:pPr>
            <w:pStyle w:val="E221465BE7A6408C9FEF4308E3EA4644"/>
          </w:pPr>
          <w:r w:rsidRPr="00B844FE">
            <w:t>Prefix Text</w:t>
          </w:r>
        </w:p>
      </w:docPartBody>
    </w:docPart>
    <w:docPart>
      <w:docPartPr>
        <w:name w:val="C378121B72554AB8A352D7806216F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E1C49-F5AD-4E44-A85E-19DDD8E0A53F}"/>
      </w:docPartPr>
      <w:docPartBody>
        <w:p w:rsidR="003D4E91" w:rsidRDefault="003D4E91">
          <w:pPr>
            <w:pStyle w:val="C378121B72554AB8A352D7806216F259"/>
          </w:pPr>
          <w:r w:rsidRPr="00B844FE">
            <w:t>[Type here]</w:t>
          </w:r>
        </w:p>
      </w:docPartBody>
    </w:docPart>
    <w:docPart>
      <w:docPartPr>
        <w:name w:val="8BA4D02A23B64CE88A914BBC3D6A3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0A857-6FF8-4A22-BE2B-98743535ED78}"/>
      </w:docPartPr>
      <w:docPartBody>
        <w:p w:rsidR="003D4E91" w:rsidRDefault="003D4E91">
          <w:pPr>
            <w:pStyle w:val="8BA4D02A23B64CE88A914BBC3D6A364A"/>
          </w:pPr>
          <w:r w:rsidRPr="00B844FE">
            <w:t>Number</w:t>
          </w:r>
        </w:p>
      </w:docPartBody>
    </w:docPart>
    <w:docPart>
      <w:docPartPr>
        <w:name w:val="5C6ABA152D464B8AA76BAE217538D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C5E03-447A-40FD-9AED-1D888067E941}"/>
      </w:docPartPr>
      <w:docPartBody>
        <w:p w:rsidR="003D4E91" w:rsidRDefault="003D4E91">
          <w:pPr>
            <w:pStyle w:val="5C6ABA152D464B8AA76BAE217538D9B8"/>
          </w:pPr>
          <w:r w:rsidRPr="00B844FE">
            <w:t>Enter Sponsors Here</w:t>
          </w:r>
        </w:p>
      </w:docPartBody>
    </w:docPart>
    <w:docPart>
      <w:docPartPr>
        <w:name w:val="EE24B7E53695478C9CEC35A4686E6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23CC6-48C8-47AA-B1DF-79D77A8ED6CD}"/>
      </w:docPartPr>
      <w:docPartBody>
        <w:p w:rsidR="003D4E91" w:rsidRDefault="003D4E91">
          <w:pPr>
            <w:pStyle w:val="EE24B7E53695478C9CEC35A4686E6A1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91"/>
    <w:rsid w:val="003D4E91"/>
    <w:rsid w:val="005331E9"/>
    <w:rsid w:val="006648E1"/>
    <w:rsid w:val="00A42A45"/>
    <w:rsid w:val="00BF2C65"/>
    <w:rsid w:val="00C23146"/>
    <w:rsid w:val="00CB1005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21465BE7A6408C9FEF4308E3EA4644">
    <w:name w:val="E221465BE7A6408C9FEF4308E3EA4644"/>
  </w:style>
  <w:style w:type="paragraph" w:customStyle="1" w:styleId="C378121B72554AB8A352D7806216F259">
    <w:name w:val="C378121B72554AB8A352D7806216F259"/>
  </w:style>
  <w:style w:type="paragraph" w:customStyle="1" w:styleId="8BA4D02A23B64CE88A914BBC3D6A364A">
    <w:name w:val="8BA4D02A23B64CE88A914BBC3D6A364A"/>
  </w:style>
  <w:style w:type="paragraph" w:customStyle="1" w:styleId="5C6ABA152D464B8AA76BAE217538D9B8">
    <w:name w:val="5C6ABA152D464B8AA76BAE217538D9B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24B7E53695478C9CEC35A4686E6A16">
    <w:name w:val="EE24B7E53695478C9CEC35A4686E6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2026-01-30T20:14:00Z</dcterms:created>
  <dcterms:modified xsi:type="dcterms:W3CDTF">2026-01-30T20:14:00Z</dcterms:modified>
</cp:coreProperties>
</file>